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557D5" w14:textId="0FAB5A3E" w:rsidR="006C5E0A" w:rsidRDefault="00F633AF" w:rsidP="000B74CD">
      <w:r>
        <w:t xml:space="preserve">Interim </w:t>
      </w:r>
      <w:r w:rsidR="006C5E0A">
        <w:t>Report of the Future Peering Service Framework Committee</w:t>
      </w:r>
    </w:p>
    <w:p w14:paraId="06B77833" w14:textId="77777777" w:rsidR="006C5E0A" w:rsidRDefault="006C5E0A" w:rsidP="000B74CD"/>
    <w:p w14:paraId="478AECA2" w14:textId="31541D6D" w:rsidR="000B74CD" w:rsidRDefault="000B74CD" w:rsidP="000B74CD">
      <w:r>
        <w:t>On December 11-12</w:t>
      </w:r>
      <w:r w:rsidR="009F0EF7">
        <w:t>, 2013</w:t>
      </w:r>
      <w:r w:rsidR="006C5E0A">
        <w:t>,</w:t>
      </w:r>
      <w:r>
        <w:t xml:space="preserve"> the </w:t>
      </w:r>
      <w:r w:rsidR="009F0EF7">
        <w:t>Future Peering Service</w:t>
      </w:r>
      <w:r>
        <w:t xml:space="preserve"> Framework </w:t>
      </w:r>
      <w:r w:rsidR="009F0EF7">
        <w:t>C</w:t>
      </w:r>
      <w:r>
        <w:t>ommittee gathered for a face</w:t>
      </w:r>
      <w:r w:rsidR="009F0EF7">
        <w:t>-</w:t>
      </w:r>
      <w:r>
        <w:t>to</w:t>
      </w:r>
      <w:r w:rsidR="009F0EF7">
        <w:t>-</w:t>
      </w:r>
      <w:r>
        <w:t>face</w:t>
      </w:r>
      <w:r w:rsidR="009F0EF7">
        <w:t xml:space="preserve"> </w:t>
      </w:r>
      <w:r>
        <w:t>meeting in Ann Arbor, Michigan.  Under the leadership of co-chairs Pat Christian (</w:t>
      </w:r>
      <w:r w:rsidR="009F0EF7">
        <w:t xml:space="preserve">University of </w:t>
      </w:r>
      <w:r>
        <w:t xml:space="preserve">Wisconsin) and </w:t>
      </w:r>
      <w:proofErr w:type="spellStart"/>
      <w:proofErr w:type="gramStart"/>
      <w:r>
        <w:t>Cas</w:t>
      </w:r>
      <w:proofErr w:type="spellEnd"/>
      <w:r>
        <w:t xml:space="preserve"> </w:t>
      </w:r>
      <w:proofErr w:type="spellStart"/>
      <w:r>
        <w:t>D’Angelo</w:t>
      </w:r>
      <w:proofErr w:type="spellEnd"/>
      <w:proofErr w:type="gramEnd"/>
      <w:r>
        <w:t xml:space="preserve"> (Georgia Tech), the committee spent two full days developing principles for the next </w:t>
      </w:r>
      <w:r w:rsidR="00F633AF">
        <w:t xml:space="preserve">evolution </w:t>
      </w:r>
      <w:r>
        <w:t xml:space="preserve">of Peering Service for Internet2 members.   </w:t>
      </w:r>
      <w:r w:rsidR="009F0EF7">
        <w:t>Since September,</w:t>
      </w:r>
      <w:r w:rsidR="00863DBA">
        <w:t xml:space="preserve"> when the group was charged with creating a Future Peering Service Framework by the Network Architecture, Operations and Policy Program Advisory Group (</w:t>
      </w:r>
      <w:proofErr w:type="spellStart"/>
      <w:r w:rsidR="00863DBA">
        <w:t>NAOPpag</w:t>
      </w:r>
      <w:proofErr w:type="spellEnd"/>
      <w:r w:rsidR="00863DBA">
        <w:t>),</w:t>
      </w:r>
      <w:r w:rsidR="009F0EF7">
        <w:t xml:space="preserve"> t</w:t>
      </w:r>
      <w:r>
        <w:t xml:space="preserve">his group has </w:t>
      </w:r>
      <w:r w:rsidR="001F0C58">
        <w:t xml:space="preserve">met </w:t>
      </w:r>
      <w:r w:rsidR="009F0EF7">
        <w:t xml:space="preserve">nine </w:t>
      </w:r>
      <w:r w:rsidR="001F0C58">
        <w:t xml:space="preserve">times </w:t>
      </w:r>
      <w:r>
        <w:t xml:space="preserve">and has discussed </w:t>
      </w:r>
      <w:r w:rsidR="00C1143D">
        <w:t xml:space="preserve">peering </w:t>
      </w:r>
      <w:r>
        <w:t xml:space="preserve">topics </w:t>
      </w:r>
      <w:r w:rsidR="00C1143D">
        <w:t>including</w:t>
      </w:r>
      <w:r>
        <w:t>:</w:t>
      </w:r>
    </w:p>
    <w:p w14:paraId="37A4CDDB" w14:textId="77777777" w:rsidR="000B74CD" w:rsidRDefault="000B74CD" w:rsidP="000B74CD"/>
    <w:p w14:paraId="487A1D94" w14:textId="77777777" w:rsidR="000B74CD" w:rsidRDefault="000B74CD" w:rsidP="003171DD">
      <w:pPr>
        <w:pStyle w:val="ListParagraph"/>
        <w:numPr>
          <w:ilvl w:val="0"/>
          <w:numId w:val="2"/>
        </w:numPr>
      </w:pPr>
      <w:r>
        <w:t>Scan of the Peering Environment</w:t>
      </w:r>
    </w:p>
    <w:p w14:paraId="0FCD9A80" w14:textId="7277991E" w:rsidR="000B74CD" w:rsidRDefault="000B74CD" w:rsidP="003171DD">
      <w:pPr>
        <w:pStyle w:val="ListParagraph"/>
        <w:numPr>
          <w:ilvl w:val="0"/>
          <w:numId w:val="2"/>
        </w:numPr>
      </w:pPr>
      <w:r>
        <w:t xml:space="preserve">Review of the Financials of </w:t>
      </w:r>
      <w:r w:rsidR="00AD0331">
        <w:t>TR-CPS</w:t>
      </w:r>
    </w:p>
    <w:p w14:paraId="5DACCAE8" w14:textId="713A0CAE" w:rsidR="000B74CD" w:rsidRDefault="000B74CD" w:rsidP="003171DD">
      <w:pPr>
        <w:pStyle w:val="ListParagraph"/>
        <w:numPr>
          <w:ilvl w:val="0"/>
          <w:numId w:val="2"/>
        </w:numPr>
      </w:pPr>
      <w:r>
        <w:t xml:space="preserve">Review of the Current Operations of </w:t>
      </w:r>
      <w:r w:rsidR="00AD0331">
        <w:t>TR-CPS</w:t>
      </w:r>
    </w:p>
    <w:p w14:paraId="48F11F24" w14:textId="77777777" w:rsidR="00AD0331" w:rsidRDefault="00AD0331" w:rsidP="003171DD">
      <w:pPr>
        <w:pStyle w:val="ListParagraph"/>
        <w:numPr>
          <w:ilvl w:val="0"/>
          <w:numId w:val="2"/>
        </w:numPr>
      </w:pPr>
      <w:r>
        <w:t xml:space="preserve">Review of Current TR-CPS </w:t>
      </w:r>
      <w:r w:rsidR="00862F79">
        <w:t>Architecture</w:t>
      </w:r>
      <w:r>
        <w:t xml:space="preserve"> including Peering Location Details and Interconnect Utilization</w:t>
      </w:r>
    </w:p>
    <w:p w14:paraId="6DF12826" w14:textId="69CD2E2F" w:rsidR="000B74CD" w:rsidRDefault="003C5D0C" w:rsidP="003171DD">
      <w:pPr>
        <w:pStyle w:val="ListParagraph"/>
        <w:numPr>
          <w:ilvl w:val="0"/>
          <w:numId w:val="2"/>
        </w:numPr>
      </w:pPr>
      <w:r>
        <w:t xml:space="preserve">Planned and </w:t>
      </w:r>
      <w:r w:rsidR="000B74CD">
        <w:t xml:space="preserve">Conducted a </w:t>
      </w:r>
      <w:r w:rsidR="00B87C88">
        <w:t>S</w:t>
      </w:r>
      <w:r w:rsidR="000B74CD">
        <w:t xml:space="preserve">urvey of </w:t>
      </w:r>
      <w:r w:rsidR="00B87C88">
        <w:t>P</w:t>
      </w:r>
      <w:r w:rsidR="000B74CD">
        <w:t xml:space="preserve">eering </w:t>
      </w:r>
      <w:r w:rsidR="00B87C88">
        <w:t>P</w:t>
      </w:r>
      <w:r w:rsidR="000B74CD">
        <w:t xml:space="preserve">ractices by </w:t>
      </w:r>
      <w:r w:rsidR="00B87C88">
        <w:t>R</w:t>
      </w:r>
      <w:r w:rsidR="000B74CD">
        <w:t>egionals</w:t>
      </w:r>
    </w:p>
    <w:p w14:paraId="579E2BC5" w14:textId="77777777" w:rsidR="000B74CD" w:rsidRDefault="000B74CD" w:rsidP="000B74CD"/>
    <w:p w14:paraId="6A02090B" w14:textId="77FEE603" w:rsidR="000B74CD" w:rsidRDefault="00BB1B50" w:rsidP="000B74CD">
      <w:r>
        <w:t xml:space="preserve">The </w:t>
      </w:r>
      <w:r w:rsidR="000B74CD">
        <w:t>face</w:t>
      </w:r>
      <w:r>
        <w:t>-</w:t>
      </w:r>
      <w:r w:rsidR="000B74CD">
        <w:t>to</w:t>
      </w:r>
      <w:r>
        <w:t>-</w:t>
      </w:r>
      <w:r w:rsidR="000B74CD">
        <w:t>face meeting was the culmination of the fact</w:t>
      </w:r>
      <w:r>
        <w:t>-</w:t>
      </w:r>
      <w:r w:rsidR="000B74CD">
        <w:t xml:space="preserve">gathering efforts and the commencement of writing a report to be provided to the </w:t>
      </w:r>
      <w:proofErr w:type="spellStart"/>
      <w:r w:rsidR="000B74CD">
        <w:t>NAOPpag</w:t>
      </w:r>
      <w:proofErr w:type="spellEnd"/>
      <w:r w:rsidR="000B74CD">
        <w:t xml:space="preserve">.  While there is much work to be done in crafting the report, the committee wanted to share with the community a summary of the key areas </w:t>
      </w:r>
      <w:r>
        <w:t xml:space="preserve">where </w:t>
      </w:r>
      <w:r w:rsidR="000B74CD">
        <w:t xml:space="preserve">progress was made.  This summary does not provide insight into the details of how the </w:t>
      </w:r>
      <w:r w:rsidR="003425AA">
        <w:t>enhanced peering service</w:t>
      </w:r>
      <w:r w:rsidR="000B74CD">
        <w:t xml:space="preserve"> will operate, but rather articulates the principles that the committee agreed would be vital to ensuring </w:t>
      </w:r>
      <w:r>
        <w:t xml:space="preserve">that </w:t>
      </w:r>
      <w:r w:rsidR="000B74CD">
        <w:t xml:space="preserve">the next </w:t>
      </w:r>
      <w:r w:rsidR="00C92214">
        <w:t xml:space="preserve">evolution </w:t>
      </w:r>
      <w:r w:rsidR="000B74CD">
        <w:t xml:space="preserve">of a peering service </w:t>
      </w:r>
      <w:r w:rsidR="00DC3E09">
        <w:t xml:space="preserve">continues to </w:t>
      </w:r>
      <w:r w:rsidR="000B74CD">
        <w:t xml:space="preserve">meet the needs of our community. </w:t>
      </w:r>
    </w:p>
    <w:p w14:paraId="6B21DB16" w14:textId="77777777" w:rsidR="000B74CD" w:rsidRDefault="000B74CD" w:rsidP="000B74CD"/>
    <w:p w14:paraId="5B04F07F" w14:textId="4A1221A9" w:rsidR="00A71392" w:rsidRDefault="00A71392" w:rsidP="000B74CD">
      <w:r>
        <w:t>The k</w:t>
      </w:r>
      <w:r w:rsidR="000B74CD">
        <w:t>ey areas of progress</w:t>
      </w:r>
      <w:r>
        <w:t xml:space="preserve"> include:</w:t>
      </w:r>
    </w:p>
    <w:p w14:paraId="678B2FDF" w14:textId="77777777" w:rsidR="00F633AF" w:rsidRDefault="00F633AF" w:rsidP="000B74CD"/>
    <w:p w14:paraId="61B861E4" w14:textId="0667A9B7" w:rsidR="00A71392" w:rsidRPr="003C5D0C" w:rsidRDefault="00876706" w:rsidP="00876706">
      <w:pPr>
        <w:pStyle w:val="ListParagraph"/>
        <w:numPr>
          <w:ilvl w:val="0"/>
          <w:numId w:val="3"/>
        </w:numPr>
      </w:pPr>
      <w:r>
        <w:t>Virtualization of the network—</w:t>
      </w:r>
      <w:r w:rsidR="00A71392" w:rsidRPr="003C5D0C">
        <w:t>not separate infrastructure</w:t>
      </w:r>
    </w:p>
    <w:p w14:paraId="79904689" w14:textId="34A22B49" w:rsidR="00A71392" w:rsidRPr="003C5D0C" w:rsidRDefault="00A71392" w:rsidP="003C5D0C">
      <w:pPr>
        <w:pStyle w:val="ListParagraph"/>
        <w:numPr>
          <w:ilvl w:val="0"/>
          <w:numId w:val="3"/>
        </w:numPr>
      </w:pPr>
      <w:r w:rsidRPr="003C5D0C">
        <w:t xml:space="preserve">NET + </w:t>
      </w:r>
      <w:r w:rsidR="00F633AF" w:rsidRPr="003C5D0C">
        <w:t xml:space="preserve">should be offered as </w:t>
      </w:r>
      <w:r w:rsidRPr="003C5D0C">
        <w:t>part of the peering service</w:t>
      </w:r>
    </w:p>
    <w:p w14:paraId="2EEEE663" w14:textId="75BF6C27" w:rsidR="00A71392" w:rsidRPr="003C5D0C" w:rsidRDefault="00F633AF" w:rsidP="00876706">
      <w:pPr>
        <w:pStyle w:val="ListParagraph"/>
        <w:numPr>
          <w:ilvl w:val="0"/>
          <w:numId w:val="3"/>
        </w:numPr>
      </w:pPr>
      <w:r w:rsidRPr="003C5D0C">
        <w:t xml:space="preserve">Create a new </w:t>
      </w:r>
      <w:r w:rsidR="003E0167" w:rsidRPr="003C5D0C">
        <w:t>Headroom P</w:t>
      </w:r>
      <w:r w:rsidR="00876706">
        <w:t>olicy—</w:t>
      </w:r>
      <w:r w:rsidRPr="003C5D0C">
        <w:t xml:space="preserve">as a positive incentive to </w:t>
      </w:r>
      <w:r w:rsidR="00A71392" w:rsidRPr="003C5D0C">
        <w:t xml:space="preserve">address the </w:t>
      </w:r>
      <w:r w:rsidRPr="003C5D0C">
        <w:t xml:space="preserve">20G </w:t>
      </w:r>
      <w:r w:rsidR="00A71392" w:rsidRPr="003C5D0C">
        <w:t>“cap”</w:t>
      </w:r>
    </w:p>
    <w:p w14:paraId="1E093E1B" w14:textId="3A02B4D9" w:rsidR="00A71392" w:rsidRPr="003C5D0C" w:rsidRDefault="00F633AF" w:rsidP="003C5D0C">
      <w:pPr>
        <w:pStyle w:val="ListParagraph"/>
        <w:numPr>
          <w:ilvl w:val="0"/>
          <w:numId w:val="3"/>
        </w:numPr>
      </w:pPr>
      <w:r w:rsidRPr="003C5D0C">
        <w:t>Begin offering d</w:t>
      </w:r>
      <w:r w:rsidR="00A71392" w:rsidRPr="003C5D0C">
        <w:t xml:space="preserve">edicated TR-CPS ports </w:t>
      </w:r>
    </w:p>
    <w:p w14:paraId="63A058FD" w14:textId="79F9C2A0" w:rsidR="00A71392" w:rsidRPr="003C5D0C" w:rsidRDefault="00A71392" w:rsidP="003C5D0C">
      <w:pPr>
        <w:pStyle w:val="ListParagraph"/>
        <w:numPr>
          <w:ilvl w:val="0"/>
          <w:numId w:val="3"/>
        </w:numPr>
      </w:pPr>
      <w:r w:rsidRPr="003C5D0C">
        <w:t>Provid</w:t>
      </w:r>
      <w:r w:rsidR="00F633AF" w:rsidRPr="003C5D0C">
        <w:t>e</w:t>
      </w:r>
      <w:r w:rsidRPr="003C5D0C">
        <w:t xml:space="preserve"> </w:t>
      </w:r>
      <w:r w:rsidR="008F34F8" w:rsidRPr="003C5D0C">
        <w:t xml:space="preserve">at least </w:t>
      </w:r>
      <w:r w:rsidRPr="003C5D0C">
        <w:t xml:space="preserve">24 months </w:t>
      </w:r>
      <w:r w:rsidR="008F34F8" w:rsidRPr="003C5D0C">
        <w:t>assurance of TR-CPS availability before planned changes</w:t>
      </w:r>
    </w:p>
    <w:p w14:paraId="1982D12E" w14:textId="62059A06" w:rsidR="00A71392" w:rsidRPr="003C5D0C" w:rsidRDefault="008F34F8" w:rsidP="003C5D0C">
      <w:pPr>
        <w:pStyle w:val="ListParagraph"/>
        <w:numPr>
          <w:ilvl w:val="0"/>
          <w:numId w:val="3"/>
        </w:numPr>
      </w:pPr>
      <w:r w:rsidRPr="003C5D0C">
        <w:t xml:space="preserve">Increase </w:t>
      </w:r>
      <w:r w:rsidR="003E0167" w:rsidRPr="003C5D0C">
        <w:t>transparency and g</w:t>
      </w:r>
      <w:r w:rsidR="00A71392" w:rsidRPr="003C5D0C">
        <w:t>overnance</w:t>
      </w:r>
    </w:p>
    <w:p w14:paraId="4A9FA16F" w14:textId="145F310B" w:rsidR="00A71392" w:rsidRPr="003C5D0C" w:rsidRDefault="008F34F8" w:rsidP="003C5D0C">
      <w:pPr>
        <w:pStyle w:val="ListParagraph"/>
        <w:numPr>
          <w:ilvl w:val="0"/>
          <w:numId w:val="3"/>
        </w:numPr>
      </w:pPr>
      <w:r w:rsidRPr="003C5D0C">
        <w:t xml:space="preserve">Address </w:t>
      </w:r>
      <w:r w:rsidR="00876706">
        <w:t>dedicated s</w:t>
      </w:r>
      <w:r w:rsidR="00A71392" w:rsidRPr="003C5D0C">
        <w:t>taffing</w:t>
      </w:r>
    </w:p>
    <w:p w14:paraId="6901035A" w14:textId="5B3F948A" w:rsidR="000B74CD" w:rsidRPr="003C5D0C" w:rsidRDefault="008F34F8" w:rsidP="003C5D0C">
      <w:pPr>
        <w:pStyle w:val="ListParagraph"/>
        <w:numPr>
          <w:ilvl w:val="0"/>
          <w:numId w:val="3"/>
        </w:numPr>
      </w:pPr>
      <w:r w:rsidRPr="003C5D0C">
        <w:t xml:space="preserve">Expand </w:t>
      </w:r>
      <w:r w:rsidR="003E0167" w:rsidRPr="003C5D0C">
        <w:t>c</w:t>
      </w:r>
      <w:r w:rsidRPr="003C5D0C">
        <w:t xml:space="preserve">ollaborations to include </w:t>
      </w:r>
      <w:r w:rsidR="003E0167" w:rsidRPr="003C5D0C">
        <w:t>i</w:t>
      </w:r>
      <w:r w:rsidR="00A71392" w:rsidRPr="003C5D0C">
        <w:t>nternational peering</w:t>
      </w:r>
    </w:p>
    <w:p w14:paraId="66EA8057" w14:textId="77777777" w:rsidR="000B74CD" w:rsidRDefault="000B74CD" w:rsidP="000B74CD"/>
    <w:p w14:paraId="4D4A71FB" w14:textId="77777777" w:rsidR="000B74CD" w:rsidRDefault="000B74CD" w:rsidP="000B74CD">
      <w:pPr>
        <w:rPr>
          <w:b/>
          <w:i/>
        </w:rPr>
      </w:pPr>
      <w:r w:rsidRPr="005E742F">
        <w:rPr>
          <w:b/>
          <w:i/>
        </w:rPr>
        <w:t>Virtualization of the network   - not separate infrastructure</w:t>
      </w:r>
    </w:p>
    <w:p w14:paraId="3C0384FF" w14:textId="6F1FEA70" w:rsidR="000B74CD" w:rsidRPr="007E575D" w:rsidRDefault="000B74CD" w:rsidP="000B74CD">
      <w:pPr>
        <w:rPr>
          <w:rFonts w:ascii="Cambria" w:hAnsi="Cambria"/>
        </w:rPr>
      </w:pPr>
      <w:r>
        <w:t xml:space="preserve">The committee discussed the feasibility of changing from the current practice of using physically separate networks </w:t>
      </w:r>
      <w:r w:rsidR="008F34F8">
        <w:t xml:space="preserve">for TR-CPS and the Internet2 R&amp;E networks </w:t>
      </w:r>
      <w:r>
        <w:t xml:space="preserve">to one that would utilize virtualized routing functions.  </w:t>
      </w:r>
      <w:r w:rsidR="0033581C">
        <w:t xml:space="preserve">For </w:t>
      </w:r>
      <w:r>
        <w:t xml:space="preserve">the current </w:t>
      </w:r>
      <w:r w:rsidR="0033581C">
        <w:t xml:space="preserve">service, </w:t>
      </w:r>
      <w:r>
        <w:t xml:space="preserve">the community </w:t>
      </w:r>
      <w:r w:rsidR="0033581C">
        <w:t>had preferred</w:t>
      </w:r>
      <w:r>
        <w:t xml:space="preserve"> having a clearly separate infrastructure.  The </w:t>
      </w:r>
      <w:r w:rsidR="0033581C">
        <w:t xml:space="preserve">committee </w:t>
      </w:r>
      <w:r>
        <w:lastRenderedPageBreak/>
        <w:t>discussion converged on an agreement that most of the community’s concerns</w:t>
      </w:r>
      <w:r w:rsidR="0033581C">
        <w:t xml:space="preserve"> about changing to a virtualized infrastructure</w:t>
      </w:r>
      <w:r>
        <w:t xml:space="preserve"> </w:t>
      </w:r>
      <w:r w:rsidR="0033581C">
        <w:t>c</w:t>
      </w:r>
      <w:r>
        <w:t xml:space="preserve">ould be addressed </w:t>
      </w:r>
      <w:r w:rsidR="0033581C">
        <w:t>by adhering to</w:t>
      </w:r>
      <w:r>
        <w:t xml:space="preserve"> reliability and cost effectiveness principles.   </w:t>
      </w:r>
      <w:r w:rsidR="0033581C">
        <w:t>Further, the committee agreed that by u</w:t>
      </w:r>
      <w:r>
        <w:t xml:space="preserve">sing proven </w:t>
      </w:r>
      <w:r w:rsidR="006F4F45">
        <w:t xml:space="preserve">(not bleeding edge) </w:t>
      </w:r>
      <w:r>
        <w:t>technologies, such as those widely used in the commercial peering space (e</w:t>
      </w:r>
      <w:r w:rsidR="0033581C">
        <w:t>.</w:t>
      </w:r>
      <w:r>
        <w:t>g.</w:t>
      </w:r>
      <w:r w:rsidR="0033581C">
        <w:t>,</w:t>
      </w:r>
      <w:r>
        <w:t xml:space="preserve"> V</w:t>
      </w:r>
      <w:r w:rsidR="006F4F45">
        <w:t>RFs with MPLS</w:t>
      </w:r>
      <w:r>
        <w:t>)</w:t>
      </w:r>
      <w:r w:rsidR="006F4F45">
        <w:t>,</w:t>
      </w:r>
      <w:r>
        <w:t xml:space="preserve"> </w:t>
      </w:r>
      <w:r w:rsidR="008F34F8">
        <w:t xml:space="preserve">Internet2 could offer </w:t>
      </w:r>
      <w:r>
        <w:t xml:space="preserve">a reliable service on a shared, virtualized infrastructure. </w:t>
      </w:r>
      <w:r w:rsidR="00FF2D54" w:rsidRPr="007E575D">
        <w:rPr>
          <w:rFonts w:ascii="Cambria" w:hAnsi="Cambria"/>
        </w:rPr>
        <w:t xml:space="preserve">Additionally, the committee agreed that </w:t>
      </w:r>
      <w:r w:rsidR="00FF2D54" w:rsidRPr="007E575D">
        <w:rPr>
          <w:rFonts w:ascii="Cambria" w:hAnsi="Cambria" w:cs="Calibri"/>
        </w:rPr>
        <w:t>making the decision to virtualize on a single hardware base led to the conclusion that a single operational organization is needed to manage the network.</w:t>
      </w:r>
      <w:r w:rsidR="00FF2D54">
        <w:rPr>
          <w:rFonts w:ascii="Cambria" w:hAnsi="Cambria" w:cs="Calibri"/>
        </w:rPr>
        <w:t xml:space="preserve"> </w:t>
      </w:r>
      <w:r w:rsidR="00FF2D54">
        <w:t xml:space="preserve">The group indicated that these considerations </w:t>
      </w:r>
      <w:proofErr w:type="gramStart"/>
      <w:r w:rsidR="00FF2D54">
        <w:t>may</w:t>
      </w:r>
      <w:proofErr w:type="gramEnd"/>
      <w:r w:rsidR="00FF2D54">
        <w:t xml:space="preserve"> also allow the service to be delivered in the most cost effective manner.</w:t>
      </w:r>
    </w:p>
    <w:p w14:paraId="6E120A2B" w14:textId="77777777" w:rsidR="000B74CD" w:rsidRDefault="000B74CD" w:rsidP="000B74CD"/>
    <w:p w14:paraId="05359282" w14:textId="145104BA" w:rsidR="000B74CD" w:rsidRDefault="00F40D44" w:rsidP="000B74CD">
      <w:r>
        <w:rPr>
          <w:b/>
          <w:i/>
        </w:rPr>
        <w:t xml:space="preserve">NET + should be offered as </w:t>
      </w:r>
      <w:r w:rsidRPr="00C23549">
        <w:rPr>
          <w:b/>
          <w:i/>
        </w:rPr>
        <w:t>part of the peering service</w:t>
      </w:r>
      <w:r w:rsidR="000B74CD">
        <w:rPr>
          <w:b/>
          <w:i/>
        </w:rPr>
        <w:br/>
      </w:r>
      <w:r w:rsidR="000B74CD">
        <w:t xml:space="preserve">The committee </w:t>
      </w:r>
      <w:r w:rsidR="00DA0498">
        <w:t>agreed</w:t>
      </w:r>
      <w:r w:rsidR="000B74CD">
        <w:t xml:space="preserve"> that the community wants clarity </w:t>
      </w:r>
      <w:r w:rsidR="00DA0498">
        <w:t xml:space="preserve">as to </w:t>
      </w:r>
      <w:r w:rsidR="000B74CD">
        <w:t xml:space="preserve">how NET+, </w:t>
      </w:r>
      <w:r w:rsidR="00AD0331">
        <w:t>TR-CPS</w:t>
      </w:r>
      <w:r w:rsidR="000B74CD">
        <w:t xml:space="preserve"> and R&amp;E routing will be handled</w:t>
      </w:r>
      <w:r w:rsidR="00515FA3">
        <w:t xml:space="preserve"> and</w:t>
      </w:r>
      <w:r w:rsidR="000B74CD">
        <w:t xml:space="preserve"> </w:t>
      </w:r>
      <w:r w:rsidR="00D46C29">
        <w:t>made progress in articulating a strategy that would allow maximum flexibility for all connectors.</w:t>
      </w:r>
      <w:r w:rsidR="000B74CD">
        <w:t xml:space="preserve"> </w:t>
      </w:r>
      <w:r w:rsidR="00D83B2F">
        <w:t>The group further agreed</w:t>
      </w:r>
      <w:r w:rsidR="000B74CD">
        <w:t xml:space="preserve"> that</w:t>
      </w:r>
      <w:r w:rsidR="00D83B2F">
        <w:t>,</w:t>
      </w:r>
      <w:r w:rsidR="000B74CD">
        <w:t xml:space="preserve"> with the utilization of a common virtualized routing infrastructure</w:t>
      </w:r>
      <w:r w:rsidR="00D83B2F">
        <w:t>,</w:t>
      </w:r>
      <w:r w:rsidR="000B74CD">
        <w:t xml:space="preserve"> </w:t>
      </w:r>
      <w:r w:rsidR="00DA0498">
        <w:t>Internet2</w:t>
      </w:r>
      <w:r w:rsidR="000B74CD">
        <w:t xml:space="preserve"> could “rebrand” the services and state that </w:t>
      </w:r>
      <w:r w:rsidR="00DA0498">
        <w:t>there are</w:t>
      </w:r>
      <w:r w:rsidR="000B74CD">
        <w:t xml:space="preserve"> </w:t>
      </w:r>
      <w:r w:rsidR="00D46C29">
        <w:t xml:space="preserve">multiple </w:t>
      </w:r>
      <w:r w:rsidR="000B74CD">
        <w:t>virtual networks (e.g</w:t>
      </w:r>
      <w:r w:rsidR="00453056">
        <w:t>.,</w:t>
      </w:r>
      <w:r w:rsidR="000B74CD">
        <w:t xml:space="preserve"> </w:t>
      </w:r>
      <w:r w:rsidR="00AD0331">
        <w:t>TR-CPS</w:t>
      </w:r>
      <w:r w:rsidR="000B74CD">
        <w:t>, R&amp;E</w:t>
      </w:r>
      <w:r w:rsidR="00D46C29">
        <w:t xml:space="preserve"> and potentially a very high-p</w:t>
      </w:r>
      <w:r w:rsidR="00795963">
        <w:t>erformance network for &gt;10G end users</w:t>
      </w:r>
      <w:r w:rsidR="000B74CD">
        <w:t xml:space="preserve">) </w:t>
      </w:r>
      <w:r w:rsidR="00D46C29">
        <w:t xml:space="preserve">while also allowing </w:t>
      </w:r>
      <w:r w:rsidR="00D83B2F">
        <w:t xml:space="preserve">each </w:t>
      </w:r>
      <w:r w:rsidR="000B74CD">
        <w:t xml:space="preserve">connector </w:t>
      </w:r>
      <w:r w:rsidR="00D83B2F">
        <w:t xml:space="preserve">to </w:t>
      </w:r>
      <w:r w:rsidR="000B74CD">
        <w:t xml:space="preserve">choose </w:t>
      </w:r>
      <w:r w:rsidR="00795963">
        <w:t xml:space="preserve">how </w:t>
      </w:r>
      <w:r w:rsidR="000B74CD">
        <w:t>they wish to connect.  The committee also agreed</w:t>
      </w:r>
      <w:r w:rsidR="0016414B">
        <w:t xml:space="preserve"> that</w:t>
      </w:r>
      <w:r w:rsidR="000B74CD">
        <w:t xml:space="preserve"> i</w:t>
      </w:r>
      <w:r w:rsidR="000B74CD" w:rsidRPr="009D7DA4">
        <w:t>t is critical to ensure</w:t>
      </w:r>
      <w:r w:rsidR="0016414B">
        <w:t xml:space="preserve"> that</w:t>
      </w:r>
      <w:r w:rsidR="000B74CD" w:rsidRPr="009D7DA4">
        <w:t xml:space="preserve"> the proper  “knobs” are in place and functional to provide </w:t>
      </w:r>
      <w:r w:rsidR="00795963">
        <w:t>all</w:t>
      </w:r>
      <w:r w:rsidR="000B74CD" w:rsidRPr="009D7DA4">
        <w:t xml:space="preserve"> connectors</w:t>
      </w:r>
      <w:r w:rsidR="008D3F44">
        <w:t xml:space="preserve"> with</w:t>
      </w:r>
      <w:r w:rsidR="000B74CD" w:rsidRPr="009D7DA4">
        <w:t xml:space="preserve"> </w:t>
      </w:r>
      <w:r w:rsidR="000B74CD">
        <w:t>the ability to determine how they accept or advertise routes. (This is available today</w:t>
      </w:r>
      <w:r w:rsidR="008D3F44">
        <w:t xml:space="preserve"> and the importance of</w:t>
      </w:r>
      <w:r w:rsidR="000B74CD">
        <w:t xml:space="preserve"> ensur</w:t>
      </w:r>
      <w:r w:rsidR="008D3F44">
        <w:t>ing that</w:t>
      </w:r>
      <w:r w:rsidR="000B74CD">
        <w:t xml:space="preserve"> this capability remains</w:t>
      </w:r>
      <w:r w:rsidR="008D3F44">
        <w:t xml:space="preserve"> was emphasized</w:t>
      </w:r>
      <w:r w:rsidR="000B74CD">
        <w:t xml:space="preserve">.)  Next steps would include: </w:t>
      </w:r>
    </w:p>
    <w:p w14:paraId="73423122" w14:textId="77777777" w:rsidR="000B74CD" w:rsidRDefault="000B74CD" w:rsidP="000B74CD"/>
    <w:p w14:paraId="4D63D020" w14:textId="78B13660" w:rsidR="000B74CD" w:rsidRDefault="000B74CD" w:rsidP="008045DF">
      <w:pPr>
        <w:pStyle w:val="ListParagraph"/>
        <w:numPr>
          <w:ilvl w:val="0"/>
          <w:numId w:val="4"/>
        </w:numPr>
      </w:pPr>
      <w:r>
        <w:t xml:space="preserve">Broader conversation with </w:t>
      </w:r>
      <w:r w:rsidR="008045DF">
        <w:t xml:space="preserve">the </w:t>
      </w:r>
      <w:r>
        <w:t xml:space="preserve">community about the </w:t>
      </w:r>
      <w:r w:rsidR="00795963">
        <w:t xml:space="preserve">realignment and potential </w:t>
      </w:r>
      <w:r>
        <w:t>“rebranding” to move this forward</w:t>
      </w:r>
    </w:p>
    <w:p w14:paraId="09342F53" w14:textId="66D8AC75" w:rsidR="000B74CD" w:rsidRDefault="008045DF" w:rsidP="008045DF">
      <w:pPr>
        <w:pStyle w:val="ListParagraph"/>
        <w:numPr>
          <w:ilvl w:val="0"/>
          <w:numId w:val="4"/>
        </w:numPr>
      </w:pPr>
      <w:r>
        <w:t>In</w:t>
      </w:r>
      <w:r w:rsidR="000B74CD">
        <w:t>-depth conversation with the routing working group about implementing the principles suggested by the committee</w:t>
      </w:r>
      <w:r w:rsidR="000B74CD">
        <w:br/>
      </w:r>
    </w:p>
    <w:p w14:paraId="32083282" w14:textId="77777777" w:rsidR="00F40D44" w:rsidRDefault="00F40D44" w:rsidP="000B74CD">
      <w:pPr>
        <w:rPr>
          <w:b/>
          <w:i/>
        </w:rPr>
      </w:pPr>
      <w:r>
        <w:rPr>
          <w:b/>
          <w:i/>
        </w:rPr>
        <w:t xml:space="preserve">Create a new </w:t>
      </w:r>
      <w:r w:rsidRPr="00CC6370">
        <w:rPr>
          <w:b/>
          <w:i/>
        </w:rPr>
        <w:t xml:space="preserve">Headroom policy  -- </w:t>
      </w:r>
      <w:r>
        <w:rPr>
          <w:b/>
          <w:i/>
        </w:rPr>
        <w:t xml:space="preserve">as a positive incentive to </w:t>
      </w:r>
      <w:r w:rsidRPr="00CC6370">
        <w:rPr>
          <w:b/>
          <w:i/>
        </w:rPr>
        <w:t xml:space="preserve">address the </w:t>
      </w:r>
      <w:r>
        <w:rPr>
          <w:b/>
          <w:i/>
        </w:rPr>
        <w:t xml:space="preserve">20G </w:t>
      </w:r>
      <w:r w:rsidRPr="00CC6370">
        <w:rPr>
          <w:b/>
          <w:i/>
        </w:rPr>
        <w:t>“cap”</w:t>
      </w:r>
    </w:p>
    <w:p w14:paraId="1851D9BF" w14:textId="202420FE" w:rsidR="000B74CD" w:rsidRDefault="00795963" w:rsidP="000B74CD">
      <w:r>
        <w:t xml:space="preserve">The committee discussed community concerns about the current 20G cap on TR-CPS for each 100G link to Internet2. </w:t>
      </w:r>
      <w:r w:rsidR="00741A51" w:rsidRPr="007E575D">
        <w:rPr>
          <w:rFonts w:ascii="Cambria" w:hAnsi="Cambria" w:cs="Calibri"/>
        </w:rPr>
        <w:t>It was noted that the 20G cap was intended to provide an incentive for connectors to maintain sufficient headroom on their 100G connection for research flows (as well as help manage the capacity of the TR-CPS infrastructure). The committee thought it wise to plan in the future to deal with headroom issues directly.</w:t>
      </w:r>
      <w:r w:rsidR="00741A51">
        <w:rPr>
          <w:rFonts w:ascii="Calibri" w:hAnsi="Calibri" w:cs="Calibri"/>
          <w:sz w:val="28"/>
          <w:szCs w:val="28"/>
        </w:rPr>
        <w:t xml:space="preserve"> </w:t>
      </w:r>
      <w:r>
        <w:t xml:space="preserve">After discussion about </w:t>
      </w:r>
      <w:r w:rsidR="00296257">
        <w:t>the need to regular</w:t>
      </w:r>
      <w:r w:rsidR="00BD6C93">
        <w:t>l</w:t>
      </w:r>
      <w:r w:rsidR="00296257">
        <w:t>y keep</w:t>
      </w:r>
      <w:r>
        <w:t xml:space="preserve"> the </w:t>
      </w:r>
      <w:r w:rsidR="00BD6C93">
        <w:t>entire</w:t>
      </w:r>
      <w:r>
        <w:t xml:space="preserve"> advanced networking ecosystem in sync </w:t>
      </w:r>
      <w:r w:rsidR="00993CAB">
        <w:t>around</w:t>
      </w:r>
      <w:r>
        <w:t xml:space="preserve"> utilization, headroom, cost and </w:t>
      </w:r>
      <w:r w:rsidR="00296257">
        <w:t>equity of Internet2 services, the committee recommended that r</w:t>
      </w:r>
      <w:r w:rsidR="000B74CD">
        <w:t xml:space="preserve">ather than set a cap on the amount of </w:t>
      </w:r>
      <w:r w:rsidR="00AD0331">
        <w:t>TR-CPS</w:t>
      </w:r>
      <w:r w:rsidR="000B74CD">
        <w:t xml:space="preserve"> traffic that can be carried on a link, a </w:t>
      </w:r>
      <w:r w:rsidR="00296257">
        <w:t xml:space="preserve">new </w:t>
      </w:r>
      <w:r w:rsidR="000B74CD">
        <w:t>headroom policy that would ensure there was enough capacity to meet the “bursting” needs for purely research traffic</w:t>
      </w:r>
      <w:r w:rsidR="00296257">
        <w:t xml:space="preserve"> be established both for the Internet2 backbone an</w:t>
      </w:r>
      <w:r w:rsidR="00F16728">
        <w:t>d for connections to connectors.</w:t>
      </w:r>
      <w:r w:rsidR="000B74CD">
        <w:t xml:space="preserve">  The committee discussed </w:t>
      </w:r>
      <w:r w:rsidR="00F16728">
        <w:t xml:space="preserve">using </w:t>
      </w:r>
      <w:r w:rsidR="000B74CD">
        <w:t>a starting point of ensuring there is at least 50G of capacity</w:t>
      </w:r>
      <w:r w:rsidR="00F16728">
        <w:t xml:space="preserve"> available</w:t>
      </w:r>
      <w:r w:rsidR="00F252EC">
        <w:t xml:space="preserve"> </w:t>
      </w:r>
      <w:r w:rsidR="000B74CD">
        <w:t>for research traffic.</w:t>
      </w:r>
      <w:r w:rsidR="000B74CD">
        <w:rPr>
          <w:rStyle w:val="FootnoteReference"/>
        </w:rPr>
        <w:footnoteReference w:id="1"/>
      </w:r>
      <w:r w:rsidR="000B74CD">
        <w:t xml:space="preserve">  </w:t>
      </w:r>
      <w:r w:rsidR="00F252EC">
        <w:t xml:space="preserve">The group </w:t>
      </w:r>
      <w:r w:rsidR="000B74CD">
        <w:t>discussed options of requiring 50G of capacity be available on a single 100G circuit (not 50G spread across two circuits</w:t>
      </w:r>
      <w:r w:rsidR="00F252EC">
        <w:t>)</w:t>
      </w:r>
      <w:r w:rsidR="00296257">
        <w:t xml:space="preserve"> and that each connector must establis</w:t>
      </w:r>
      <w:r w:rsidR="000227E0">
        <w:t>h routing such</w:t>
      </w:r>
      <w:r w:rsidR="00296257">
        <w:t xml:space="preserve"> that research traffic can access that headroom</w:t>
      </w:r>
      <w:r w:rsidR="00F252EC">
        <w:t>.</w:t>
      </w:r>
      <w:r w:rsidR="000B74CD">
        <w:t xml:space="preserve">  This model also considered that a connector with two 100G ports, might need to allocate 50G of headroom on </w:t>
      </w:r>
      <w:r w:rsidR="00151D8F">
        <w:t xml:space="preserve">only </w:t>
      </w:r>
      <w:r w:rsidR="000B74CD">
        <w:t>one of their connections.  Th</w:t>
      </w:r>
      <w:r w:rsidR="00296257">
        <w:t>e discussion recognized that such a</w:t>
      </w:r>
      <w:r w:rsidR="000B74CD">
        <w:t xml:space="preserve"> model could work as long as </w:t>
      </w:r>
      <w:r w:rsidR="00296257">
        <w:t xml:space="preserve">the community continues to monitor equity, cost and </w:t>
      </w:r>
      <w:r w:rsidR="00073272">
        <w:t xml:space="preserve">aggregation </w:t>
      </w:r>
      <w:r w:rsidR="000B74CD">
        <w:t xml:space="preserve">among connectors. </w:t>
      </w:r>
    </w:p>
    <w:p w14:paraId="171B2997" w14:textId="77777777" w:rsidR="000B74CD" w:rsidRDefault="000B74CD" w:rsidP="000B74CD"/>
    <w:p w14:paraId="081737FC" w14:textId="474BBC76" w:rsidR="000B74CD" w:rsidRPr="004E52A4" w:rsidRDefault="000842D0" w:rsidP="000B74CD">
      <w:r>
        <w:t>In the short term, until the next evolution of the Peering Service is implemented, t</w:t>
      </w:r>
      <w:r w:rsidR="000B74CD">
        <w:t xml:space="preserve">he committee also discussed implementing a practice in 2014 </w:t>
      </w:r>
      <w:r w:rsidR="00151D8F">
        <w:t>in which</w:t>
      </w:r>
      <w:r w:rsidR="000B74CD">
        <w:t xml:space="preserve"> </w:t>
      </w:r>
      <w:r w:rsidR="000B74CD" w:rsidRPr="00CC6370">
        <w:rPr>
          <w:rFonts w:ascii="Cambria" w:hAnsi="Cambria" w:cs="Cambria"/>
        </w:rPr>
        <w:t xml:space="preserve">Internet2 </w:t>
      </w:r>
      <w:r w:rsidR="006F30A8">
        <w:rPr>
          <w:rFonts w:ascii="Cambria" w:hAnsi="Cambria" w:cs="Cambria"/>
        </w:rPr>
        <w:t>will</w:t>
      </w:r>
      <w:r w:rsidR="000B74CD" w:rsidRPr="00CC6370">
        <w:rPr>
          <w:rFonts w:ascii="Cambria" w:hAnsi="Cambria" w:cs="Cambria"/>
        </w:rPr>
        <w:t xml:space="preserve"> </w:t>
      </w:r>
      <w:r>
        <w:rPr>
          <w:rFonts w:ascii="Cambria" w:hAnsi="Cambria" w:cs="Cambria"/>
        </w:rPr>
        <w:t xml:space="preserve">monitor and </w:t>
      </w:r>
      <w:r w:rsidR="000B74CD" w:rsidRPr="00CC6370">
        <w:rPr>
          <w:rFonts w:ascii="Cambria" w:hAnsi="Cambria" w:cs="Cambria"/>
        </w:rPr>
        <w:t>measure the amount of capacity utilized</w:t>
      </w:r>
      <w:r>
        <w:rPr>
          <w:rFonts w:ascii="Cambria" w:hAnsi="Cambria" w:cs="Cambria"/>
        </w:rPr>
        <w:t xml:space="preserve"> by the regionals on each 100G link.</w:t>
      </w:r>
      <w:r w:rsidR="002B7849">
        <w:rPr>
          <w:rStyle w:val="FootnoteReference"/>
          <w:rFonts w:ascii="Cambria" w:hAnsi="Cambria" w:cs="Cambria"/>
        </w:rPr>
        <w:footnoteReference w:id="2"/>
      </w:r>
      <w:r w:rsidR="000B74CD" w:rsidRPr="00CC6370">
        <w:rPr>
          <w:rFonts w:ascii="Cambria" w:hAnsi="Cambria" w:cs="Cambria"/>
        </w:rPr>
        <w:t xml:space="preserve"> </w:t>
      </w:r>
      <w:r>
        <w:rPr>
          <w:rFonts w:ascii="Cambria" w:hAnsi="Cambria" w:cs="Cambria"/>
        </w:rPr>
        <w:t xml:space="preserve">This would allow Internet2 to </w:t>
      </w:r>
      <w:r w:rsidR="000B74CD" w:rsidRPr="00CC6370">
        <w:rPr>
          <w:rFonts w:ascii="Cambria" w:hAnsi="Cambria" w:cs="Cambria"/>
        </w:rPr>
        <w:t xml:space="preserve">develop a policy that supports continued </w:t>
      </w:r>
      <w:r w:rsidR="00AD0331">
        <w:rPr>
          <w:rFonts w:ascii="Cambria" w:hAnsi="Cambria" w:cs="Cambria"/>
        </w:rPr>
        <w:t>TR-CPS</w:t>
      </w:r>
      <w:r w:rsidR="000B74CD" w:rsidRPr="00CC6370">
        <w:rPr>
          <w:rFonts w:ascii="Cambria" w:hAnsi="Cambria" w:cs="Cambria"/>
        </w:rPr>
        <w:t xml:space="preserve"> usage growth and ensures adequate capacity is reserved for research use. </w:t>
      </w:r>
      <w:r w:rsidR="00073272">
        <w:rPr>
          <w:rFonts w:ascii="Cambria" w:hAnsi="Cambria" w:cs="Cambria"/>
        </w:rPr>
        <w:t xml:space="preserve"> An annual process of allowing growth for the next year while also reviewing its impact and adjusting business models if needed might be considered.</w:t>
      </w:r>
    </w:p>
    <w:p w14:paraId="7DCB85E0" w14:textId="77777777" w:rsidR="000B74CD" w:rsidRDefault="000B74CD" w:rsidP="000B74CD"/>
    <w:p w14:paraId="03DBDF96" w14:textId="3F89DF45" w:rsidR="00F40D44" w:rsidRDefault="00DC3E09" w:rsidP="00F40D44">
      <w:pPr>
        <w:rPr>
          <w:b/>
          <w:i/>
        </w:rPr>
      </w:pPr>
      <w:r>
        <w:rPr>
          <w:b/>
          <w:i/>
        </w:rPr>
        <w:t xml:space="preserve">Continue </w:t>
      </w:r>
      <w:r w:rsidR="00F40D44">
        <w:rPr>
          <w:b/>
          <w:i/>
        </w:rPr>
        <w:t>offering d</w:t>
      </w:r>
      <w:r w:rsidR="00F40D44" w:rsidRPr="00DB3CDE">
        <w:rPr>
          <w:b/>
          <w:i/>
        </w:rPr>
        <w:t>edicated</w:t>
      </w:r>
      <w:r w:rsidR="00F40D44">
        <w:rPr>
          <w:b/>
          <w:i/>
        </w:rPr>
        <w:t xml:space="preserve"> TR-CPS</w:t>
      </w:r>
      <w:r w:rsidR="00F40D44" w:rsidRPr="00DB3CDE">
        <w:rPr>
          <w:b/>
          <w:i/>
        </w:rPr>
        <w:t xml:space="preserve"> ports</w:t>
      </w:r>
      <w:r w:rsidR="00F40D44">
        <w:rPr>
          <w:b/>
          <w:i/>
        </w:rPr>
        <w:t xml:space="preserve"> </w:t>
      </w:r>
    </w:p>
    <w:p w14:paraId="4CD22A45" w14:textId="27474331" w:rsidR="000B74CD" w:rsidRPr="002563C6" w:rsidRDefault="000B74CD" w:rsidP="000B74CD">
      <w:r>
        <w:t xml:space="preserve">The committee discussed </w:t>
      </w:r>
      <w:r w:rsidR="00DC3E09">
        <w:t xml:space="preserve">continuing to </w:t>
      </w:r>
      <w:r>
        <w:t xml:space="preserve">support the ability of members to obtain a direct </w:t>
      </w:r>
      <w:r w:rsidR="00AD0331">
        <w:t>TR-CPS</w:t>
      </w:r>
      <w:r>
        <w:t xml:space="preserve"> port</w:t>
      </w:r>
      <w:r w:rsidR="00073272">
        <w:t xml:space="preserve"> on a peering router</w:t>
      </w:r>
      <w:r>
        <w:t xml:space="preserve">.   The model discussed would </w:t>
      </w:r>
      <w:r w:rsidR="00073272">
        <w:t>use the existing</w:t>
      </w:r>
      <w:r>
        <w:t xml:space="preserve"> flat rate fee for the port, which would not include the cost of transport </w:t>
      </w:r>
      <w:r w:rsidR="00054138">
        <w:t xml:space="preserve">from the connector </w:t>
      </w:r>
      <w:r>
        <w:t xml:space="preserve">to the port location. This would allow members to utilize existing infrastructure they may have to reach the peering exchange site, or choose to procure the appropriate transport service from Internet2 to gain access to the peering exchange site.   </w:t>
      </w:r>
      <w:r w:rsidR="00ED3492">
        <w:t xml:space="preserve">The group </w:t>
      </w:r>
      <w:r>
        <w:t xml:space="preserve">discussed having such a port priced at the same </w:t>
      </w:r>
      <w:r w:rsidR="008F678A">
        <w:t xml:space="preserve">fee </w:t>
      </w:r>
      <w:r>
        <w:t xml:space="preserve">as </w:t>
      </w:r>
      <w:r w:rsidR="00ED3492">
        <w:t xml:space="preserve">a </w:t>
      </w:r>
      <w:r>
        <w:t>port</w:t>
      </w:r>
      <w:r w:rsidR="00ED3492">
        <w:t xml:space="preserve"> that includes Layer 3 access</w:t>
      </w:r>
      <w:r>
        <w:t xml:space="preserve"> today ($200</w:t>
      </w:r>
      <w:r w:rsidR="00ED3492">
        <w:t>,000/</w:t>
      </w:r>
      <w:proofErr w:type="spellStart"/>
      <w:r w:rsidR="00ED3492">
        <w:t>yr</w:t>
      </w:r>
      <w:proofErr w:type="spellEnd"/>
      <w:r>
        <w:t xml:space="preserve">) and monitoring over the next 18 months to determine if such a fee could </w:t>
      </w:r>
      <w:r w:rsidR="00CC6157">
        <w:t xml:space="preserve">sustainably </w:t>
      </w:r>
      <w:r w:rsidR="00ED3492">
        <w:t xml:space="preserve">fund </w:t>
      </w:r>
      <w:r>
        <w:t xml:space="preserve">the cost of </w:t>
      </w:r>
      <w:r w:rsidR="00AD0331">
        <w:t>TR-CPS</w:t>
      </w:r>
      <w:r>
        <w:t xml:space="preserve"> growth among members. </w:t>
      </w:r>
      <w:r w:rsidR="00ED3492">
        <w:t xml:space="preserve"> Further, t</w:t>
      </w:r>
      <w:r>
        <w:t xml:space="preserve">he committee </w:t>
      </w:r>
      <w:r w:rsidR="00ED3492">
        <w:t xml:space="preserve">indicated </w:t>
      </w:r>
      <w:r>
        <w:t xml:space="preserve">that there are only a few regional partners who could place a large load on direct </w:t>
      </w:r>
      <w:r w:rsidR="00AD0331">
        <w:t>TR-CPS</w:t>
      </w:r>
      <w:r>
        <w:t xml:space="preserve"> ports in the short term, therefore using </w:t>
      </w:r>
      <w:r w:rsidR="008F678A">
        <w:t xml:space="preserve">the </w:t>
      </w:r>
      <w:r>
        <w:t>established 100G port</w:t>
      </w:r>
      <w:r w:rsidR="00ED3492">
        <w:t xml:space="preserve"> fee</w:t>
      </w:r>
      <w:r>
        <w:t xml:space="preserve"> is reasonable for the next 18 months.  </w:t>
      </w:r>
    </w:p>
    <w:p w14:paraId="22CA9A26" w14:textId="77777777" w:rsidR="007E575D" w:rsidRDefault="007E575D">
      <w:pPr>
        <w:rPr>
          <w:b/>
          <w:i/>
        </w:rPr>
      </w:pPr>
      <w:r>
        <w:rPr>
          <w:b/>
          <w:i/>
        </w:rPr>
        <w:br w:type="page"/>
      </w:r>
    </w:p>
    <w:p w14:paraId="6870A56D" w14:textId="5A524FC2" w:rsidR="000B74CD" w:rsidRPr="00DB3CDE" w:rsidRDefault="00F40D44" w:rsidP="000B74CD">
      <w:pPr>
        <w:rPr>
          <w:b/>
          <w:i/>
        </w:rPr>
      </w:pPr>
      <w:r>
        <w:rPr>
          <w:b/>
          <w:i/>
        </w:rPr>
        <w:t>Provide at least 24 months assurance of TR-CPS availability before planned changes</w:t>
      </w:r>
      <w:r w:rsidDel="00F40D44">
        <w:rPr>
          <w:b/>
          <w:i/>
        </w:rPr>
        <w:t xml:space="preserve"> </w:t>
      </w:r>
      <w:r w:rsidR="000B74CD">
        <w:rPr>
          <w:b/>
          <w:i/>
        </w:rPr>
        <w:t xml:space="preserve"> </w:t>
      </w:r>
    </w:p>
    <w:p w14:paraId="1080E884" w14:textId="0BCB4514" w:rsidR="000B74CD" w:rsidRDefault="000B74CD" w:rsidP="000B74CD">
      <w:r>
        <w:t xml:space="preserve">The committee discussed the fact that many regionals need certainty in how the Peering Service will operate to make decisions on their other commodity Internet contracts or long term capital expenditures.   The committee agreed to the principle that Internet2 will </w:t>
      </w:r>
      <w:r w:rsidR="002D61EE">
        <w:t xml:space="preserve">provide at least 24 months notice </w:t>
      </w:r>
      <w:r w:rsidR="003425AA">
        <w:t>prior</w:t>
      </w:r>
      <w:r w:rsidR="002D61EE">
        <w:t xml:space="preserve"> to </w:t>
      </w:r>
      <w:r>
        <w:t>implement</w:t>
      </w:r>
      <w:r w:rsidR="002D61EE">
        <w:t>ing</w:t>
      </w:r>
      <w:r>
        <w:t xml:space="preserve"> any changes that </w:t>
      </w:r>
      <w:r w:rsidR="009A414F">
        <w:t>would</w:t>
      </w:r>
      <w:r>
        <w:t xml:space="preserve"> degrade o</w:t>
      </w:r>
      <w:r w:rsidR="00054138">
        <w:t>r</w:t>
      </w:r>
      <w:r>
        <w:t xml:space="preserve"> significantly impact the business or operational models of the Peering Service</w:t>
      </w:r>
      <w:r w:rsidR="002D61EE">
        <w:t>.</w:t>
      </w:r>
      <w:r>
        <w:rPr>
          <w:rStyle w:val="FootnoteReference"/>
        </w:rPr>
        <w:footnoteReference w:id="3"/>
      </w:r>
    </w:p>
    <w:p w14:paraId="3C64C9B9" w14:textId="77777777" w:rsidR="000B74CD" w:rsidRDefault="000B74CD" w:rsidP="000B74CD"/>
    <w:p w14:paraId="7ED71124" w14:textId="77777777" w:rsidR="009A414F" w:rsidRPr="005E742F" w:rsidRDefault="009A414F" w:rsidP="009A414F">
      <w:pPr>
        <w:rPr>
          <w:b/>
          <w:i/>
        </w:rPr>
      </w:pPr>
      <w:r>
        <w:rPr>
          <w:b/>
          <w:i/>
        </w:rPr>
        <w:t xml:space="preserve">Increase </w:t>
      </w:r>
      <w:r w:rsidRPr="005E742F">
        <w:rPr>
          <w:b/>
          <w:i/>
        </w:rPr>
        <w:t>Transparency and Governance</w:t>
      </w:r>
    </w:p>
    <w:p w14:paraId="1BB97D27" w14:textId="3E5C2932" w:rsidR="009A414F" w:rsidRDefault="009A414F" w:rsidP="009A414F">
      <w:r>
        <w:t xml:space="preserve">The committee agreed that operations can be handled by a single entity, separate from the governance but connected to governance.  The committee further indicated that it is critical that governance be open and transparent as well as having community oversight. The committee </w:t>
      </w:r>
      <w:r w:rsidR="00CE4A7F">
        <w:t>recommended engaging</w:t>
      </w:r>
      <w:r>
        <w:t xml:space="preserve"> the community in defining policy and governance and that a Peering Advisory Group be formed at the </w:t>
      </w:r>
      <w:r w:rsidR="00CE4A7F">
        <w:t xml:space="preserve">request and under the auspices </w:t>
      </w:r>
      <w:r>
        <w:t xml:space="preserve">of the </w:t>
      </w:r>
      <w:proofErr w:type="spellStart"/>
      <w:r>
        <w:t>NAOPpag</w:t>
      </w:r>
      <w:proofErr w:type="spellEnd"/>
      <w:r>
        <w:t xml:space="preserve">.   Agility and credibility are important aspects of any governance process and, therefore a “light-weight” advisory process was suggested allowing the </w:t>
      </w:r>
      <w:r w:rsidR="006970AB">
        <w:t>Peering C</w:t>
      </w:r>
      <w:r>
        <w:t xml:space="preserve">oordinator </w:t>
      </w:r>
      <w:r w:rsidR="006970AB">
        <w:t xml:space="preserve">(see next section) </w:t>
      </w:r>
      <w:r>
        <w:t xml:space="preserve">to provide a “heads up” on upcoming events or concerns to the Peering Advisory Group.  The Peering Advisory Group would also review performance metrics and provide input to Internet2 </w:t>
      </w:r>
      <w:r w:rsidR="006970AB">
        <w:t>in</w:t>
      </w:r>
      <w:r>
        <w:t xml:space="preserve"> set</w:t>
      </w:r>
      <w:r w:rsidR="006970AB">
        <w:t>ting</w:t>
      </w:r>
      <w:r>
        <w:t xml:space="preserve"> strategic direction.  </w:t>
      </w:r>
    </w:p>
    <w:p w14:paraId="36030A60" w14:textId="77777777" w:rsidR="009A414F" w:rsidRDefault="009A414F" w:rsidP="009A414F"/>
    <w:p w14:paraId="019B99C6" w14:textId="77777777" w:rsidR="00F40D44" w:rsidRPr="00C23549" w:rsidRDefault="00F40D44" w:rsidP="00F40D44">
      <w:pPr>
        <w:rPr>
          <w:b/>
          <w:i/>
        </w:rPr>
      </w:pPr>
      <w:r>
        <w:rPr>
          <w:b/>
          <w:i/>
        </w:rPr>
        <w:t xml:space="preserve">Address </w:t>
      </w:r>
      <w:r w:rsidR="00BD6C93">
        <w:rPr>
          <w:b/>
          <w:i/>
        </w:rPr>
        <w:t>Dedicated S</w:t>
      </w:r>
      <w:r w:rsidRPr="00C23549">
        <w:rPr>
          <w:b/>
          <w:i/>
        </w:rPr>
        <w:t>taffing</w:t>
      </w:r>
    </w:p>
    <w:p w14:paraId="1ABFD3F7" w14:textId="262582D0" w:rsidR="000B74CD" w:rsidRDefault="000B74CD" w:rsidP="000B74CD">
      <w:r>
        <w:t xml:space="preserve">The committee outlined the responsibilities and qualities </w:t>
      </w:r>
      <w:r w:rsidR="003425AA">
        <w:t xml:space="preserve">necessary </w:t>
      </w:r>
      <w:r w:rsidR="00D2195F">
        <w:t>for</w:t>
      </w:r>
      <w:r w:rsidR="003425AA">
        <w:t xml:space="preserve"> </w:t>
      </w:r>
      <w:r w:rsidR="00D2195F">
        <w:t>the role</w:t>
      </w:r>
      <w:r>
        <w:t xml:space="preserve"> </w:t>
      </w:r>
      <w:r w:rsidR="007F338A">
        <w:t xml:space="preserve">of </w:t>
      </w:r>
      <w:r w:rsidR="008C0B5E">
        <w:t>Peering C</w:t>
      </w:r>
      <w:r>
        <w:t xml:space="preserve">oordinator to support this effort.  It was agreed </w:t>
      </w:r>
      <w:r w:rsidR="008C0B5E">
        <w:t xml:space="preserve">that </w:t>
      </w:r>
      <w:r>
        <w:t xml:space="preserve">a dedicated Lead Peering Coordinator would be needed. The Lead Peering Coordinator would be responsible for capacity </w:t>
      </w:r>
      <w:proofErr w:type="gramStart"/>
      <w:r>
        <w:t>planning,</w:t>
      </w:r>
      <w:proofErr w:type="gramEnd"/>
      <w:r>
        <w:t xml:space="preserve"> coordination with Internet2, and community coordination &amp; evangelization</w:t>
      </w:r>
      <w:r w:rsidR="00AA421A">
        <w:t xml:space="preserve"> and</w:t>
      </w:r>
      <w:r w:rsidR="00463CFD">
        <w:t>,</w:t>
      </w:r>
      <w:r w:rsidR="00AA421A">
        <w:t xml:space="preserve"> due to the importance of this role, the Lead Peering Coordinator needs to be dedica</w:t>
      </w:r>
      <w:r w:rsidR="008C0B5E">
        <w:t xml:space="preserve">ted to Internet2 for peering.  </w:t>
      </w:r>
      <w:r w:rsidR="00ED259C">
        <w:t>The group also indicated tha</w:t>
      </w:r>
      <w:r w:rsidR="008C0B5E">
        <w:t xml:space="preserve">t it </w:t>
      </w:r>
      <w:proofErr w:type="gramStart"/>
      <w:r w:rsidR="008C0B5E">
        <w:t>will</w:t>
      </w:r>
      <w:proofErr w:type="gramEnd"/>
      <w:r w:rsidR="008C0B5E">
        <w:t xml:space="preserve"> be important for the Peering C</w:t>
      </w:r>
      <w:r w:rsidR="00ED259C">
        <w:t>oordinator to be able to maintain credibility within the larger</w:t>
      </w:r>
      <w:r w:rsidR="008C0B5E">
        <w:t xml:space="preserve"> national/international</w:t>
      </w:r>
      <w:r w:rsidR="00ED259C">
        <w:t xml:space="preserve"> peering community.</w:t>
      </w:r>
    </w:p>
    <w:p w14:paraId="4C336A32" w14:textId="77777777" w:rsidR="000B74CD" w:rsidRDefault="000B74CD" w:rsidP="000B74CD"/>
    <w:p w14:paraId="6B7DD43B" w14:textId="20441B67" w:rsidR="000B74CD" w:rsidRDefault="002B5373" w:rsidP="000B74CD">
      <w:r>
        <w:t xml:space="preserve">The </w:t>
      </w:r>
      <w:r w:rsidR="006448D5">
        <w:t>committee</w:t>
      </w:r>
      <w:r>
        <w:t xml:space="preserve"> further recommended that</w:t>
      </w:r>
      <w:r w:rsidR="000B74CD">
        <w:t xml:space="preserve"> a small team</w:t>
      </w:r>
      <w:r>
        <w:t xml:space="preserve"> be built</w:t>
      </w:r>
      <w:r w:rsidR="000B74CD">
        <w:t xml:space="preserve"> </w:t>
      </w:r>
      <w:r>
        <w:t>to include</w:t>
      </w:r>
      <w:r w:rsidR="000B74CD">
        <w:t xml:space="preserve"> </w:t>
      </w:r>
      <w:r>
        <w:t>one</w:t>
      </w:r>
      <w:r w:rsidR="000B74CD">
        <w:t xml:space="preserve"> or </w:t>
      </w:r>
      <w:r>
        <w:t xml:space="preserve">two </w:t>
      </w:r>
      <w:r w:rsidR="000B74CD">
        <w:t>additional junior peering coordinators.  Team members could come from the community</w:t>
      </w:r>
      <w:r w:rsidR="002263DB">
        <w:t xml:space="preserve"> and would provide input on </w:t>
      </w:r>
      <w:r w:rsidR="0097401E">
        <w:t>matters</w:t>
      </w:r>
      <w:r w:rsidR="002263DB">
        <w:t xml:space="preserve"> </w:t>
      </w:r>
      <w:r w:rsidR="0097401E">
        <w:t xml:space="preserve">at </w:t>
      </w:r>
      <w:r w:rsidR="002263DB">
        <w:t xml:space="preserve">a tactical </w:t>
      </w:r>
      <w:r w:rsidR="0097401E">
        <w:t>level</w:t>
      </w:r>
      <w:r w:rsidR="000B74CD">
        <w:t>.  Th</w:t>
      </w:r>
      <w:r w:rsidR="009B545D">
        <w:t>is team will be subordinate to the</w:t>
      </w:r>
      <w:r w:rsidR="000B74CD">
        <w:t xml:space="preserve"> Peering Advisory Group</w:t>
      </w:r>
      <w:r w:rsidR="009B545D">
        <w:t>.</w:t>
      </w:r>
      <w:r w:rsidR="000B74CD">
        <w:t xml:space="preserve"> It was also felt that a very small group of peering coordinators throughout the community should be created (with rotating sea</w:t>
      </w:r>
      <w:r w:rsidR="009B545D">
        <w:t>ts) to provide guidance to the Peering C</w:t>
      </w:r>
      <w:r w:rsidR="000B74CD">
        <w:t xml:space="preserve">oordinator. </w:t>
      </w:r>
    </w:p>
    <w:p w14:paraId="509AF7A9" w14:textId="77777777" w:rsidR="000B74CD" w:rsidRDefault="000B74CD" w:rsidP="000B74CD"/>
    <w:p w14:paraId="1BFCCABE" w14:textId="77777777" w:rsidR="00F40D44" w:rsidRDefault="00F40D44" w:rsidP="00295FB3">
      <w:pPr>
        <w:rPr>
          <w:b/>
          <w:i/>
        </w:rPr>
      </w:pPr>
      <w:r>
        <w:rPr>
          <w:b/>
          <w:i/>
        </w:rPr>
        <w:t xml:space="preserve">Expand Collaborations to include </w:t>
      </w:r>
      <w:r w:rsidRPr="00DB3CDE">
        <w:rPr>
          <w:b/>
          <w:i/>
        </w:rPr>
        <w:t>International peering</w:t>
      </w:r>
      <w:r w:rsidRPr="00DB3CDE" w:rsidDel="00F40D44">
        <w:rPr>
          <w:b/>
          <w:i/>
        </w:rPr>
        <w:t xml:space="preserve"> </w:t>
      </w:r>
    </w:p>
    <w:p w14:paraId="587742FE" w14:textId="66D103B6" w:rsidR="003B7B82" w:rsidRDefault="00295FB3">
      <w:r>
        <w:t>The committee agreed that extending the peering infrastructure internationally would bring more peers to the enhanced peering service and would allow additional collaboration with international partners.</w:t>
      </w:r>
      <w:r w:rsidR="004A55F3">
        <w:t xml:space="preserve"> Internet2, CENIC and </w:t>
      </w:r>
      <w:proofErr w:type="spellStart"/>
      <w:r w:rsidR="004A55F3">
        <w:t>Nordunet</w:t>
      </w:r>
      <w:proofErr w:type="spellEnd"/>
      <w:r w:rsidR="004A55F3">
        <w:t xml:space="preserve"> have already begun conversations about </w:t>
      </w:r>
      <w:proofErr w:type="gramStart"/>
      <w:r w:rsidR="004A55F3">
        <w:t>a North</w:t>
      </w:r>
      <w:proofErr w:type="gramEnd"/>
      <w:r w:rsidR="004A55F3">
        <w:t xml:space="preserve"> American/European collaboration and this conversation will be expanded and p</w:t>
      </w:r>
      <w:r w:rsidR="001F6F3F">
        <w:t>u</w:t>
      </w:r>
      <w:r w:rsidR="004A55F3">
        <w:t xml:space="preserve">rsued. (Jorgen </w:t>
      </w:r>
      <w:proofErr w:type="spellStart"/>
      <w:r w:rsidR="004A55F3">
        <w:t>Qvist</w:t>
      </w:r>
      <w:proofErr w:type="spellEnd"/>
      <w:r w:rsidR="004A55F3">
        <w:t xml:space="preserve"> of </w:t>
      </w:r>
      <w:proofErr w:type="spellStart"/>
      <w:r w:rsidR="004A55F3">
        <w:t>Nordunet</w:t>
      </w:r>
      <w:proofErr w:type="spellEnd"/>
      <w:r w:rsidR="004A55F3">
        <w:t xml:space="preserve"> is an active member of the committee and was present in the Ann Arbor meetings.)</w:t>
      </w:r>
      <w:r w:rsidR="00A91455">
        <w:t xml:space="preserve">  </w:t>
      </w:r>
      <w:r w:rsidR="004A55F3">
        <w:t xml:space="preserve">The belief is that the global R&amp;E community may find benefit through continued collaboration and </w:t>
      </w:r>
      <w:r w:rsidR="009807BA">
        <w:t>unified presentation of a future service offering.</w:t>
      </w:r>
    </w:p>
    <w:sectPr w:rsidR="003B7B82" w:rsidSect="00BE4FA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F3215" w14:textId="77777777" w:rsidR="007E575D" w:rsidRDefault="007E575D" w:rsidP="000B74CD">
      <w:r>
        <w:separator/>
      </w:r>
    </w:p>
  </w:endnote>
  <w:endnote w:type="continuationSeparator" w:id="0">
    <w:p w14:paraId="6CCD0B4C" w14:textId="77777777" w:rsidR="007E575D" w:rsidRDefault="007E575D" w:rsidP="000B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1EE3A" w14:textId="77777777" w:rsidR="007E575D" w:rsidRDefault="007E575D" w:rsidP="000B74CD">
      <w:r>
        <w:separator/>
      </w:r>
    </w:p>
  </w:footnote>
  <w:footnote w:type="continuationSeparator" w:id="0">
    <w:p w14:paraId="774EE7F4" w14:textId="77777777" w:rsidR="007E575D" w:rsidRDefault="007E575D" w:rsidP="000B74CD">
      <w:r>
        <w:continuationSeparator/>
      </w:r>
    </w:p>
  </w:footnote>
  <w:footnote w:id="1">
    <w:p w14:paraId="19CCB9B4" w14:textId="6B23B371" w:rsidR="007E575D" w:rsidRPr="007E575D" w:rsidRDefault="007E575D" w:rsidP="000B74CD">
      <w:pPr>
        <w:pStyle w:val="FootnoteText"/>
        <w:rPr>
          <w:sz w:val="20"/>
          <w:szCs w:val="20"/>
        </w:rPr>
      </w:pPr>
      <w:r>
        <w:rPr>
          <w:rStyle w:val="FootnoteReference"/>
        </w:rPr>
        <w:footnoteRef/>
      </w:r>
      <w:r>
        <w:t xml:space="preserve"> </w:t>
      </w:r>
      <w:r w:rsidRPr="007E575D">
        <w:rPr>
          <w:sz w:val="20"/>
          <w:szCs w:val="20"/>
        </w:rPr>
        <w:t xml:space="preserve">In this case, research traffic refers to what has been considered by the community to be traffic that is in support of discipline research, and is usually generated from the campus.   While we understand that some of this traffic may now come from commercial cloud sites (e.g., Amazon AWS), such traffic would likely be considered NET+ or the “e” part of R&amp;E Layer3 traffic, not what we have considered traditional research traffic. </w:t>
      </w:r>
    </w:p>
  </w:footnote>
  <w:footnote w:id="2">
    <w:p w14:paraId="388A2677" w14:textId="17D116E2" w:rsidR="007E575D" w:rsidRDefault="007E575D">
      <w:pPr>
        <w:pStyle w:val="FootnoteText"/>
      </w:pPr>
      <w:r>
        <w:rPr>
          <w:rStyle w:val="FootnoteReference"/>
        </w:rPr>
        <w:footnoteRef/>
      </w:r>
      <w:r>
        <w:t xml:space="preserve"> </w:t>
      </w:r>
      <w:r w:rsidRPr="007E575D">
        <w:rPr>
          <w:sz w:val="20"/>
          <w:szCs w:val="20"/>
        </w:rPr>
        <w:t xml:space="preserve">It is the intention of Internet2 to be as flexible as possible regarding the 20G cap for TR/CPS traffic.  </w:t>
      </w:r>
      <w:r w:rsidRPr="007E575D">
        <w:rPr>
          <w:sz w:val="20"/>
          <w:szCs w:val="20"/>
        </w:rPr>
        <w:t>No regional will be penalized or charged additional fees if they exceed</w:t>
      </w:r>
      <w:r w:rsidR="00DB6467">
        <w:rPr>
          <w:sz w:val="20"/>
          <w:szCs w:val="20"/>
        </w:rPr>
        <w:t xml:space="preserve"> the 20G cap from time to </w:t>
      </w:r>
      <w:r w:rsidR="00DB6467">
        <w:rPr>
          <w:sz w:val="20"/>
          <w:szCs w:val="20"/>
        </w:rPr>
        <w:t>time;</w:t>
      </w:r>
      <w:bookmarkStart w:id="0" w:name="_GoBack"/>
      <w:bookmarkEnd w:id="0"/>
      <w:r w:rsidRPr="007E575D">
        <w:rPr>
          <w:sz w:val="20"/>
          <w:szCs w:val="20"/>
        </w:rPr>
        <w:t xml:space="preserve"> as long as such bursts are not detrimental to the overall service.   In fact, such bursts would be beneficial to Internet2 in determining growth in demand.</w:t>
      </w:r>
      <w:r>
        <w:t xml:space="preserve"> </w:t>
      </w:r>
    </w:p>
  </w:footnote>
  <w:footnote w:id="3">
    <w:p w14:paraId="5DFCF173" w14:textId="072EA120" w:rsidR="007E575D" w:rsidRDefault="007E575D" w:rsidP="000B74CD">
      <w:pPr>
        <w:pStyle w:val="FootnoteText"/>
      </w:pPr>
      <w:r>
        <w:rPr>
          <w:rStyle w:val="FootnoteReference"/>
        </w:rPr>
        <w:footnoteRef/>
      </w:r>
      <w:r>
        <w:t xml:space="preserve"> Of course, there may be times when extenuating circumstances might prevent Internet2 from adhering to this principle – but in such cases the community will be informed and engaged in discussion on the best way for the Peering Service to proceed.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F1396"/>
    <w:multiLevelType w:val="hybridMultilevel"/>
    <w:tmpl w:val="AC526DB2"/>
    <w:lvl w:ilvl="0" w:tplc="5BE4D6CC">
      <w:start w:val="2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075D7"/>
    <w:multiLevelType w:val="hybridMultilevel"/>
    <w:tmpl w:val="F6A47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2E4588"/>
    <w:multiLevelType w:val="hybridMultilevel"/>
    <w:tmpl w:val="6A74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6F0FD0"/>
    <w:multiLevelType w:val="hybridMultilevel"/>
    <w:tmpl w:val="9E36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4CD"/>
    <w:rsid w:val="000227E0"/>
    <w:rsid w:val="0003206C"/>
    <w:rsid w:val="00054138"/>
    <w:rsid w:val="00073272"/>
    <w:rsid w:val="000842D0"/>
    <w:rsid w:val="000B74CD"/>
    <w:rsid w:val="0013081C"/>
    <w:rsid w:val="00151D8F"/>
    <w:rsid w:val="0016414B"/>
    <w:rsid w:val="001F0C58"/>
    <w:rsid w:val="001F6F3F"/>
    <w:rsid w:val="002263DB"/>
    <w:rsid w:val="00295FB3"/>
    <w:rsid w:val="00296257"/>
    <w:rsid w:val="002B5373"/>
    <w:rsid w:val="002B7849"/>
    <w:rsid w:val="002D61EE"/>
    <w:rsid w:val="003171DD"/>
    <w:rsid w:val="0033581C"/>
    <w:rsid w:val="003425AA"/>
    <w:rsid w:val="00392A85"/>
    <w:rsid w:val="003B7B82"/>
    <w:rsid w:val="003C572C"/>
    <w:rsid w:val="003C5D0C"/>
    <w:rsid w:val="003E0167"/>
    <w:rsid w:val="00416560"/>
    <w:rsid w:val="00453056"/>
    <w:rsid w:val="00463CFD"/>
    <w:rsid w:val="00495918"/>
    <w:rsid w:val="004A55F3"/>
    <w:rsid w:val="00515FA3"/>
    <w:rsid w:val="005C7965"/>
    <w:rsid w:val="006025AA"/>
    <w:rsid w:val="006448D5"/>
    <w:rsid w:val="006970AB"/>
    <w:rsid w:val="006C5E0A"/>
    <w:rsid w:val="006F30A8"/>
    <w:rsid w:val="006F4F45"/>
    <w:rsid w:val="00741A51"/>
    <w:rsid w:val="0076550F"/>
    <w:rsid w:val="00795963"/>
    <w:rsid w:val="007D0CEF"/>
    <w:rsid w:val="007E575D"/>
    <w:rsid w:val="007F338A"/>
    <w:rsid w:val="008045DF"/>
    <w:rsid w:val="00862F79"/>
    <w:rsid w:val="00863DBA"/>
    <w:rsid w:val="00876706"/>
    <w:rsid w:val="008C0B5E"/>
    <w:rsid w:val="008C29CD"/>
    <w:rsid w:val="008C4008"/>
    <w:rsid w:val="008D3F44"/>
    <w:rsid w:val="008E78C0"/>
    <w:rsid w:val="008F34F8"/>
    <w:rsid w:val="008F678A"/>
    <w:rsid w:val="00905CD4"/>
    <w:rsid w:val="0097401E"/>
    <w:rsid w:val="009807BA"/>
    <w:rsid w:val="00993CAB"/>
    <w:rsid w:val="009A414F"/>
    <w:rsid w:val="009B545D"/>
    <w:rsid w:val="009C0084"/>
    <w:rsid w:val="009E5BE8"/>
    <w:rsid w:val="009F0EF7"/>
    <w:rsid w:val="00A13CA5"/>
    <w:rsid w:val="00A30D11"/>
    <w:rsid w:val="00A44B71"/>
    <w:rsid w:val="00A71392"/>
    <w:rsid w:val="00A91455"/>
    <w:rsid w:val="00AA421A"/>
    <w:rsid w:val="00AD0331"/>
    <w:rsid w:val="00AF3690"/>
    <w:rsid w:val="00B04CF6"/>
    <w:rsid w:val="00B24871"/>
    <w:rsid w:val="00B72169"/>
    <w:rsid w:val="00B745E2"/>
    <w:rsid w:val="00B87C88"/>
    <w:rsid w:val="00BA6ABF"/>
    <w:rsid w:val="00BB1B50"/>
    <w:rsid w:val="00BD6C93"/>
    <w:rsid w:val="00BE4FA1"/>
    <w:rsid w:val="00C1143D"/>
    <w:rsid w:val="00C92214"/>
    <w:rsid w:val="00CC6157"/>
    <w:rsid w:val="00CE4A7F"/>
    <w:rsid w:val="00D20E59"/>
    <w:rsid w:val="00D2195F"/>
    <w:rsid w:val="00D46C29"/>
    <w:rsid w:val="00D83B2F"/>
    <w:rsid w:val="00DA0498"/>
    <w:rsid w:val="00DB6467"/>
    <w:rsid w:val="00DC3E09"/>
    <w:rsid w:val="00E6629A"/>
    <w:rsid w:val="00ED259C"/>
    <w:rsid w:val="00ED3492"/>
    <w:rsid w:val="00F16728"/>
    <w:rsid w:val="00F252EC"/>
    <w:rsid w:val="00F27F37"/>
    <w:rsid w:val="00F40D44"/>
    <w:rsid w:val="00F633AF"/>
    <w:rsid w:val="00F83A92"/>
    <w:rsid w:val="00FF2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8E3F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4CD"/>
    <w:pPr>
      <w:ind w:left="720"/>
      <w:contextualSpacing/>
    </w:pPr>
  </w:style>
  <w:style w:type="paragraph" w:styleId="FootnoteText">
    <w:name w:val="footnote text"/>
    <w:basedOn w:val="Normal"/>
    <w:link w:val="FootnoteTextChar"/>
    <w:uiPriority w:val="99"/>
    <w:unhideWhenUsed/>
    <w:rsid w:val="000B74CD"/>
  </w:style>
  <w:style w:type="character" w:customStyle="1" w:styleId="FootnoteTextChar">
    <w:name w:val="Footnote Text Char"/>
    <w:basedOn w:val="DefaultParagraphFont"/>
    <w:link w:val="FootnoteText"/>
    <w:uiPriority w:val="99"/>
    <w:rsid w:val="000B74CD"/>
  </w:style>
  <w:style w:type="character" w:styleId="FootnoteReference">
    <w:name w:val="footnote reference"/>
    <w:basedOn w:val="DefaultParagraphFont"/>
    <w:uiPriority w:val="99"/>
    <w:unhideWhenUsed/>
    <w:rsid w:val="000B74CD"/>
    <w:rPr>
      <w:vertAlign w:val="superscript"/>
    </w:rPr>
  </w:style>
  <w:style w:type="paragraph" w:styleId="BalloonText">
    <w:name w:val="Balloon Text"/>
    <w:basedOn w:val="Normal"/>
    <w:link w:val="BalloonTextChar"/>
    <w:uiPriority w:val="99"/>
    <w:semiHidden/>
    <w:unhideWhenUsed/>
    <w:rsid w:val="009F0E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0EF7"/>
    <w:rPr>
      <w:rFonts w:ascii="Lucida Grande" w:hAnsi="Lucida Grande" w:cs="Lucida Grande"/>
      <w:sz w:val="18"/>
      <w:szCs w:val="18"/>
    </w:rPr>
  </w:style>
  <w:style w:type="character" w:styleId="CommentReference">
    <w:name w:val="annotation reference"/>
    <w:basedOn w:val="DefaultParagraphFont"/>
    <w:uiPriority w:val="99"/>
    <w:semiHidden/>
    <w:unhideWhenUsed/>
    <w:rsid w:val="008C4008"/>
    <w:rPr>
      <w:sz w:val="18"/>
      <w:szCs w:val="18"/>
    </w:rPr>
  </w:style>
  <w:style w:type="paragraph" w:styleId="CommentText">
    <w:name w:val="annotation text"/>
    <w:basedOn w:val="Normal"/>
    <w:link w:val="CommentTextChar"/>
    <w:uiPriority w:val="99"/>
    <w:semiHidden/>
    <w:unhideWhenUsed/>
    <w:rsid w:val="008C4008"/>
  </w:style>
  <w:style w:type="character" w:customStyle="1" w:styleId="CommentTextChar">
    <w:name w:val="Comment Text Char"/>
    <w:basedOn w:val="DefaultParagraphFont"/>
    <w:link w:val="CommentText"/>
    <w:uiPriority w:val="99"/>
    <w:semiHidden/>
    <w:rsid w:val="008C4008"/>
  </w:style>
  <w:style w:type="paragraph" w:styleId="CommentSubject">
    <w:name w:val="annotation subject"/>
    <w:basedOn w:val="CommentText"/>
    <w:next w:val="CommentText"/>
    <w:link w:val="CommentSubjectChar"/>
    <w:uiPriority w:val="99"/>
    <w:semiHidden/>
    <w:unhideWhenUsed/>
    <w:rsid w:val="008C4008"/>
    <w:rPr>
      <w:b/>
      <w:bCs/>
      <w:sz w:val="20"/>
      <w:szCs w:val="20"/>
    </w:rPr>
  </w:style>
  <w:style w:type="character" w:customStyle="1" w:styleId="CommentSubjectChar">
    <w:name w:val="Comment Subject Char"/>
    <w:basedOn w:val="CommentTextChar"/>
    <w:link w:val="CommentSubject"/>
    <w:uiPriority w:val="99"/>
    <w:semiHidden/>
    <w:rsid w:val="008C400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4CD"/>
    <w:pPr>
      <w:ind w:left="720"/>
      <w:contextualSpacing/>
    </w:pPr>
  </w:style>
  <w:style w:type="paragraph" w:styleId="FootnoteText">
    <w:name w:val="footnote text"/>
    <w:basedOn w:val="Normal"/>
    <w:link w:val="FootnoteTextChar"/>
    <w:uiPriority w:val="99"/>
    <w:unhideWhenUsed/>
    <w:rsid w:val="000B74CD"/>
  </w:style>
  <w:style w:type="character" w:customStyle="1" w:styleId="FootnoteTextChar">
    <w:name w:val="Footnote Text Char"/>
    <w:basedOn w:val="DefaultParagraphFont"/>
    <w:link w:val="FootnoteText"/>
    <w:uiPriority w:val="99"/>
    <w:rsid w:val="000B74CD"/>
  </w:style>
  <w:style w:type="character" w:styleId="FootnoteReference">
    <w:name w:val="footnote reference"/>
    <w:basedOn w:val="DefaultParagraphFont"/>
    <w:uiPriority w:val="99"/>
    <w:unhideWhenUsed/>
    <w:rsid w:val="000B74CD"/>
    <w:rPr>
      <w:vertAlign w:val="superscript"/>
    </w:rPr>
  </w:style>
  <w:style w:type="paragraph" w:styleId="BalloonText">
    <w:name w:val="Balloon Text"/>
    <w:basedOn w:val="Normal"/>
    <w:link w:val="BalloonTextChar"/>
    <w:uiPriority w:val="99"/>
    <w:semiHidden/>
    <w:unhideWhenUsed/>
    <w:rsid w:val="009F0E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0EF7"/>
    <w:rPr>
      <w:rFonts w:ascii="Lucida Grande" w:hAnsi="Lucida Grande" w:cs="Lucida Grande"/>
      <w:sz w:val="18"/>
      <w:szCs w:val="18"/>
    </w:rPr>
  </w:style>
  <w:style w:type="character" w:styleId="CommentReference">
    <w:name w:val="annotation reference"/>
    <w:basedOn w:val="DefaultParagraphFont"/>
    <w:uiPriority w:val="99"/>
    <w:semiHidden/>
    <w:unhideWhenUsed/>
    <w:rsid w:val="008C4008"/>
    <w:rPr>
      <w:sz w:val="18"/>
      <w:szCs w:val="18"/>
    </w:rPr>
  </w:style>
  <w:style w:type="paragraph" w:styleId="CommentText">
    <w:name w:val="annotation text"/>
    <w:basedOn w:val="Normal"/>
    <w:link w:val="CommentTextChar"/>
    <w:uiPriority w:val="99"/>
    <w:semiHidden/>
    <w:unhideWhenUsed/>
    <w:rsid w:val="008C4008"/>
  </w:style>
  <w:style w:type="character" w:customStyle="1" w:styleId="CommentTextChar">
    <w:name w:val="Comment Text Char"/>
    <w:basedOn w:val="DefaultParagraphFont"/>
    <w:link w:val="CommentText"/>
    <w:uiPriority w:val="99"/>
    <w:semiHidden/>
    <w:rsid w:val="008C4008"/>
  </w:style>
  <w:style w:type="paragraph" w:styleId="CommentSubject">
    <w:name w:val="annotation subject"/>
    <w:basedOn w:val="CommentText"/>
    <w:next w:val="CommentText"/>
    <w:link w:val="CommentSubjectChar"/>
    <w:uiPriority w:val="99"/>
    <w:semiHidden/>
    <w:unhideWhenUsed/>
    <w:rsid w:val="008C4008"/>
    <w:rPr>
      <w:b/>
      <w:bCs/>
      <w:sz w:val="20"/>
      <w:szCs w:val="20"/>
    </w:rPr>
  </w:style>
  <w:style w:type="character" w:customStyle="1" w:styleId="CommentSubjectChar">
    <w:name w:val="Comment Subject Char"/>
    <w:basedOn w:val="CommentTextChar"/>
    <w:link w:val="CommentSubject"/>
    <w:uiPriority w:val="99"/>
    <w:semiHidden/>
    <w:rsid w:val="008C40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1616</Words>
  <Characters>9212</Characters>
  <Application>Microsoft Macintosh Word</Application>
  <DocSecurity>0</DocSecurity>
  <Lines>76</Lines>
  <Paragraphs>21</Paragraphs>
  <ScaleCrop>false</ScaleCrop>
  <Company>Internet2</Company>
  <LinksUpToDate>false</LinksUpToDate>
  <CharactersWithSpaces>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Loftus</dc:creator>
  <cp:keywords/>
  <dc:description/>
  <cp:lastModifiedBy>Linda Roos</cp:lastModifiedBy>
  <cp:revision>2</cp:revision>
  <dcterms:created xsi:type="dcterms:W3CDTF">2013-12-19T19:02:00Z</dcterms:created>
  <dcterms:modified xsi:type="dcterms:W3CDTF">2013-12-19T19:02:00Z</dcterms:modified>
</cp:coreProperties>
</file>